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CB" w:rsidRPr="00F2299F" w:rsidRDefault="005F75CB" w:rsidP="00E06E58">
      <w:pPr>
        <w:keepLines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2299F">
        <w:rPr>
          <w:rFonts w:ascii="Arial" w:hAnsi="Arial" w:cs="Arial"/>
          <w:sz w:val="22"/>
          <w:szCs w:val="22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F2299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2299F">
        <w:rPr>
          <w:rFonts w:ascii="Arial" w:hAnsi="Arial" w:cs="Arial"/>
          <w:sz w:val="22"/>
          <w:szCs w:val="22"/>
        </w:rPr>
        <w:t xml:space="preserve"> Government, along with the forest and timber industry, have recognised that there is a need to collaborate to develop practical strategies to address industry challenges to enable the sector to realise its full potential. </w:t>
      </w:r>
      <w:r>
        <w:rPr>
          <w:rFonts w:ascii="Arial" w:hAnsi="Arial" w:cs="Arial"/>
          <w:sz w:val="22"/>
          <w:szCs w:val="22"/>
        </w:rPr>
        <w:t xml:space="preserve"> </w:t>
      </w:r>
      <w:r w:rsidRPr="00F2299F">
        <w:rPr>
          <w:rFonts w:ascii="Arial" w:hAnsi="Arial" w:cs="Arial"/>
          <w:sz w:val="22"/>
          <w:szCs w:val="22"/>
        </w:rPr>
        <w:t>Accordingly</w:t>
      </w:r>
      <w:r>
        <w:rPr>
          <w:rFonts w:ascii="Arial" w:hAnsi="Arial" w:cs="Arial"/>
          <w:sz w:val="22"/>
          <w:szCs w:val="22"/>
        </w:rPr>
        <w:t>,</w:t>
      </w:r>
      <w:r w:rsidRPr="00F2299F">
        <w:rPr>
          <w:rFonts w:ascii="Arial" w:hAnsi="Arial" w:cs="Arial"/>
          <w:sz w:val="22"/>
          <w:szCs w:val="22"/>
        </w:rPr>
        <w:t xml:space="preserve"> the Queensland Government included the development of the Queensland Forest and Timber Industry Plan (the Plan) in its first Six Month Action Plan (July-December 2012).</w:t>
      </w:r>
    </w:p>
    <w:p w:rsidR="005F75CB" w:rsidRPr="00F2299F" w:rsidRDefault="005F75CB" w:rsidP="00E06E58">
      <w:pPr>
        <w:keepLines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2299F">
        <w:rPr>
          <w:rFonts w:ascii="Arial" w:hAnsi="Arial" w:cs="Arial"/>
          <w:sz w:val="22"/>
          <w:szCs w:val="22"/>
        </w:rPr>
        <w:t xml:space="preserve">An industry working group chaired by Timber </w:t>
      </w:r>
      <w:smartTag w:uri="urn:schemas-microsoft-com:office:smarttags" w:element="State">
        <w:smartTag w:uri="urn:schemas-microsoft-com:office:smarttags" w:element="place">
          <w:r w:rsidRPr="00F2299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2299F">
        <w:rPr>
          <w:rFonts w:ascii="Arial" w:hAnsi="Arial" w:cs="Arial"/>
          <w:sz w:val="22"/>
          <w:szCs w:val="22"/>
        </w:rPr>
        <w:t xml:space="preserve"> and including industry and Department of Agriculture, Fisheries and Forestry representatives, developed the Plan </w:t>
      </w:r>
      <w:r>
        <w:rPr>
          <w:rFonts w:ascii="Arial" w:hAnsi="Arial" w:cs="Arial"/>
          <w:sz w:val="22"/>
          <w:szCs w:val="22"/>
        </w:rPr>
        <w:t>which</w:t>
      </w:r>
      <w:r w:rsidRPr="00F2299F">
        <w:rPr>
          <w:rFonts w:ascii="Arial" w:hAnsi="Arial" w:cs="Arial"/>
          <w:sz w:val="22"/>
          <w:szCs w:val="22"/>
        </w:rPr>
        <w:t xml:space="preserve"> was presented to the Minister for Agriculture, Fisheries and Forestry for consideration by the Queensland Government in December 2012.  </w:t>
      </w:r>
      <w:r>
        <w:rPr>
          <w:rFonts w:ascii="Arial" w:hAnsi="Arial" w:cs="Arial"/>
          <w:sz w:val="22"/>
          <w:szCs w:val="22"/>
        </w:rPr>
        <w:t>The Queensland Government committed to releasing the Plan in its Six Month Action Plan (January-June 2013)</w:t>
      </w:r>
      <w:r w:rsidRPr="00F229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The Queensland Government response to the Plan will deliver this action.</w:t>
      </w:r>
    </w:p>
    <w:p w:rsidR="005F75CB" w:rsidRPr="00F2299F" w:rsidRDefault="005F75CB" w:rsidP="00E06E58">
      <w:pPr>
        <w:keepLines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2299F">
        <w:rPr>
          <w:rFonts w:ascii="Arial" w:hAnsi="Arial" w:cs="Arial"/>
          <w:sz w:val="22"/>
          <w:szCs w:val="22"/>
        </w:rPr>
        <w:t xml:space="preserve">The Plan aligns with the Queensland Government’s commitment outlined in </w:t>
      </w:r>
      <w:smartTag w:uri="urn:schemas-microsoft-com:office:smarttags" w:element="State">
        <w:r w:rsidRPr="006100D7">
          <w:rPr>
            <w:rFonts w:ascii="Arial" w:hAnsi="Arial" w:cs="Arial"/>
            <w:i/>
            <w:sz w:val="22"/>
            <w:szCs w:val="22"/>
          </w:rPr>
          <w:t>Queensland</w:t>
        </w:r>
      </w:smartTag>
      <w:r>
        <w:rPr>
          <w:rFonts w:ascii="Arial" w:hAnsi="Arial" w:cs="Arial"/>
          <w:i/>
          <w:sz w:val="22"/>
          <w:szCs w:val="22"/>
        </w:rPr>
        <w:t>’</w:t>
      </w:r>
      <w:r w:rsidRPr="006100D7">
        <w:rPr>
          <w:rFonts w:ascii="Arial" w:hAnsi="Arial" w:cs="Arial"/>
          <w:i/>
          <w:sz w:val="22"/>
          <w:szCs w:val="22"/>
        </w:rPr>
        <w:t xml:space="preserve">s agriculture strategy </w:t>
      </w:r>
      <w:r>
        <w:rPr>
          <w:rFonts w:ascii="Arial" w:hAnsi="Arial" w:cs="Arial"/>
          <w:i/>
          <w:sz w:val="22"/>
          <w:szCs w:val="22"/>
        </w:rPr>
        <w:t>–</w:t>
      </w:r>
      <w:r w:rsidRPr="006100D7">
        <w:rPr>
          <w:rFonts w:ascii="Arial" w:hAnsi="Arial" w:cs="Arial"/>
          <w:i/>
          <w:sz w:val="22"/>
          <w:szCs w:val="22"/>
        </w:rPr>
        <w:t xml:space="preserve"> a 2040 vision </w:t>
      </w:r>
      <w:r>
        <w:rPr>
          <w:rFonts w:ascii="Arial" w:hAnsi="Arial" w:cs="Arial"/>
          <w:i/>
          <w:sz w:val="22"/>
          <w:szCs w:val="22"/>
        </w:rPr>
        <w:t xml:space="preserve">to </w:t>
      </w:r>
      <w:r w:rsidRPr="006100D7">
        <w:rPr>
          <w:rFonts w:ascii="Arial" w:hAnsi="Arial" w:cs="Arial"/>
          <w:i/>
          <w:sz w:val="22"/>
          <w:szCs w:val="22"/>
        </w:rPr>
        <w:t>double agriculture, fisheries and forestry</w:t>
      </w:r>
      <w:r w:rsidRPr="00F2299F">
        <w:rPr>
          <w:rFonts w:ascii="Arial" w:hAnsi="Arial" w:cs="Arial"/>
          <w:sz w:val="22"/>
          <w:szCs w:val="22"/>
        </w:rPr>
        <w:t xml:space="preserve"> to establish individual industry action plans to grow the sector as one of the four pillars of the </w:t>
      </w:r>
      <w:smartTag w:uri="urn:schemas-microsoft-com:office:smarttags" w:element="State">
        <w:smartTag w:uri="urn:schemas-microsoft-com:office:smarttags" w:element="place">
          <w:r w:rsidRPr="00F2299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2299F">
        <w:rPr>
          <w:rFonts w:ascii="Arial" w:hAnsi="Arial" w:cs="Arial"/>
          <w:sz w:val="22"/>
          <w:szCs w:val="22"/>
        </w:rPr>
        <w:t xml:space="preserve"> economy.  Implementation of the actions in the Plan, as endorsed by the Queensland Government, will support regional economic development, employment growth and better forest and land management.</w:t>
      </w:r>
    </w:p>
    <w:p w:rsidR="005F75CB" w:rsidRPr="00F2299F" w:rsidRDefault="005F75CB" w:rsidP="00E06E58">
      <w:pPr>
        <w:keepLines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2299F">
        <w:rPr>
          <w:rFonts w:ascii="Arial" w:hAnsi="Arial" w:cs="Arial"/>
          <w:sz w:val="22"/>
          <w:szCs w:val="22"/>
        </w:rPr>
        <w:t xml:space="preserve">The Plan response </w:t>
      </w:r>
      <w:r>
        <w:rPr>
          <w:rFonts w:ascii="Arial" w:hAnsi="Arial" w:cs="Arial"/>
          <w:sz w:val="22"/>
          <w:szCs w:val="22"/>
        </w:rPr>
        <w:t>notes</w:t>
      </w:r>
      <w:r w:rsidRPr="00F2299F">
        <w:rPr>
          <w:rFonts w:ascii="Arial" w:hAnsi="Arial" w:cs="Arial"/>
          <w:sz w:val="22"/>
          <w:szCs w:val="22"/>
        </w:rPr>
        <w:t xml:space="preserve"> that the Queensland Government will support all 27 immediate actions, as well as provide in-principle support for all of the longer-term actions. </w:t>
      </w:r>
    </w:p>
    <w:p w:rsidR="005F75CB" w:rsidRPr="00F2299F" w:rsidRDefault="005F75CB" w:rsidP="00E06E58">
      <w:pPr>
        <w:keepLines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F2299F">
        <w:rPr>
          <w:rFonts w:ascii="Arial" w:hAnsi="Arial" w:cs="Arial"/>
          <w:sz w:val="22"/>
          <w:szCs w:val="22"/>
        </w:rPr>
        <w:t xml:space="preserve">The </w:t>
      </w:r>
      <w:r w:rsidR="00376E5B">
        <w:rPr>
          <w:rFonts w:ascii="Arial" w:hAnsi="Arial" w:cs="Arial"/>
          <w:sz w:val="22"/>
          <w:szCs w:val="22"/>
        </w:rPr>
        <w:t>“</w:t>
      </w:r>
      <w:r w:rsidRPr="00F2299F">
        <w:rPr>
          <w:rFonts w:ascii="Arial" w:hAnsi="Arial" w:cs="Arial"/>
          <w:sz w:val="22"/>
          <w:szCs w:val="22"/>
        </w:rPr>
        <w:t>Queensland’s State forests – a multi-use tenure</w:t>
      </w:r>
      <w:r w:rsidR="00376E5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has been developed to provide a policy statement on</w:t>
      </w:r>
      <w:r w:rsidRPr="00F2299F">
        <w:rPr>
          <w:rFonts w:ascii="Arial" w:hAnsi="Arial" w:cs="Arial"/>
          <w:sz w:val="22"/>
          <w:szCs w:val="22"/>
        </w:rPr>
        <w:t xml:space="preserve"> access to State-owned native forests across </w:t>
      </w:r>
      <w:smartTag w:uri="urn:schemas-microsoft-com:office:smarttags" w:element="place">
        <w:smartTag w:uri="urn:schemas-microsoft-com:office:smarttags" w:element="State">
          <w:r w:rsidRPr="00F2299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2299F">
        <w:rPr>
          <w:rFonts w:ascii="Arial" w:hAnsi="Arial" w:cs="Arial"/>
          <w:sz w:val="22"/>
          <w:szCs w:val="22"/>
        </w:rPr>
        <w:t xml:space="preserve"> (including any reinstated State forests) for commercial timber production and other uses.  </w:t>
      </w:r>
      <w:r w:rsidRPr="00F44159">
        <w:rPr>
          <w:rFonts w:ascii="Arial" w:hAnsi="Arial" w:cs="Arial"/>
          <w:sz w:val="22"/>
          <w:szCs w:val="22"/>
        </w:rPr>
        <w:t>This statement is consistent with the government’s stated intent to reinstate access to State forests to allow for a broad range of forest uses such as timber harvesting, grazing, bee keeping, recreation and conservation.</w:t>
      </w:r>
    </w:p>
    <w:p w:rsidR="005F75CB" w:rsidRDefault="005F75CB" w:rsidP="00E06E58">
      <w:pPr>
        <w:keepLines/>
        <w:numPr>
          <w:ilvl w:val="0"/>
          <w:numId w:val="5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E06E58">
        <w:rPr>
          <w:rFonts w:ascii="Arial" w:hAnsi="Arial" w:cs="Arial"/>
          <w:sz w:val="22"/>
          <w:szCs w:val="22"/>
          <w:u w:val="single"/>
        </w:rPr>
        <w:t>Cabinet endorsed</w:t>
      </w:r>
      <w:r w:rsidRPr="00F2299F">
        <w:rPr>
          <w:rFonts w:ascii="Arial" w:hAnsi="Arial" w:cs="Arial"/>
          <w:sz w:val="22"/>
          <w:szCs w:val="22"/>
        </w:rPr>
        <w:t xml:space="preserve"> the Queensland Government Response to the </w:t>
      </w:r>
      <w:smartTag w:uri="urn:schemas-microsoft-com:office:smarttags" w:element="PlaceName">
        <w:r w:rsidRPr="00F2299F">
          <w:rPr>
            <w:rFonts w:ascii="Arial" w:hAnsi="Arial" w:cs="Arial"/>
            <w:sz w:val="22"/>
            <w:szCs w:val="22"/>
          </w:rPr>
          <w:t>Queensland</w:t>
        </w:r>
      </w:smartTag>
      <w:r w:rsidRPr="00F2299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Type">
        <w:r w:rsidRPr="00F2299F">
          <w:rPr>
            <w:rFonts w:ascii="Arial" w:hAnsi="Arial" w:cs="Arial"/>
            <w:sz w:val="22"/>
            <w:szCs w:val="22"/>
          </w:rPr>
          <w:t>Forest</w:t>
        </w:r>
      </w:smartTag>
      <w:r w:rsidRPr="00F2299F">
        <w:rPr>
          <w:rFonts w:ascii="Arial" w:hAnsi="Arial" w:cs="Arial"/>
          <w:sz w:val="22"/>
          <w:szCs w:val="22"/>
        </w:rPr>
        <w:t xml:space="preserve"> and Timber Industry Plan and the policy statement “</w:t>
      </w:r>
      <w:smartTag w:uri="urn:schemas-microsoft-com:office:smarttags" w:element="place">
        <w:smartTag w:uri="urn:schemas-microsoft-com:office:smarttags" w:element="State">
          <w:r w:rsidRPr="00F2299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F2299F">
        <w:rPr>
          <w:rFonts w:ascii="Arial" w:hAnsi="Arial" w:cs="Arial"/>
          <w:sz w:val="22"/>
          <w:szCs w:val="22"/>
        </w:rPr>
        <w:t>’s State forests – a multi-use tenure”.</w:t>
      </w:r>
    </w:p>
    <w:p w:rsidR="005F75CB" w:rsidRPr="00E06E58" w:rsidRDefault="005F75CB" w:rsidP="00376E5B">
      <w:pPr>
        <w:keepLines/>
        <w:numPr>
          <w:ilvl w:val="0"/>
          <w:numId w:val="5"/>
        </w:numPr>
        <w:spacing w:befor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E06E5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F75CB" w:rsidRDefault="00626ECF" w:rsidP="00E06E58">
      <w:pPr>
        <w:keepLines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5F75CB" w:rsidRPr="00801D2A">
          <w:rPr>
            <w:rStyle w:val="Hyperlink"/>
            <w:rFonts w:ascii="Arial" w:hAnsi="Arial" w:cs="Arial"/>
            <w:sz w:val="22"/>
            <w:szCs w:val="22"/>
          </w:rPr>
          <w:t>Queensland Government Response to the Queensland Forest and Timber Industry Plan</w:t>
        </w:r>
      </w:hyperlink>
    </w:p>
    <w:p w:rsidR="005F75CB" w:rsidRPr="00F2299F" w:rsidRDefault="00626ECF" w:rsidP="00E06E58">
      <w:pPr>
        <w:keepLines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5F75CB" w:rsidRPr="00801D2A">
          <w:rPr>
            <w:rStyle w:val="Hyperlink"/>
            <w:rFonts w:ascii="Arial" w:hAnsi="Arial" w:cs="Arial"/>
            <w:sz w:val="22"/>
            <w:szCs w:val="22"/>
          </w:rPr>
          <w:t>Queensland’s State forests – a multi-use tenure</w:t>
        </w:r>
      </w:hyperlink>
    </w:p>
    <w:p w:rsidR="005F75CB" w:rsidRPr="00B65802" w:rsidRDefault="005F75CB" w:rsidP="00B65802">
      <w:pPr>
        <w:keepLines/>
        <w:spacing w:before="240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sectPr w:rsidR="005F75CB" w:rsidRPr="00B65802" w:rsidSect="00376E5B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87" w:rsidRDefault="00F07D87" w:rsidP="00D6589B">
      <w:r>
        <w:separator/>
      </w:r>
    </w:p>
  </w:endnote>
  <w:endnote w:type="continuationSeparator" w:id="0">
    <w:p w:rsidR="00F07D87" w:rsidRDefault="00F07D8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87" w:rsidRDefault="00F07D87" w:rsidP="00D6589B">
      <w:r>
        <w:separator/>
      </w:r>
    </w:p>
  </w:footnote>
  <w:footnote w:type="continuationSeparator" w:id="0">
    <w:p w:rsidR="00F07D87" w:rsidRDefault="00F07D8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BD" w:rsidRPr="00937A4A" w:rsidRDefault="008C7ABD" w:rsidP="008C7A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8C7ABD" w:rsidRPr="00937A4A" w:rsidRDefault="008C7ABD" w:rsidP="008C7A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8C7ABD" w:rsidRPr="00937A4A" w:rsidRDefault="008C7ABD" w:rsidP="008C7A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2013</w:t>
    </w:r>
  </w:p>
  <w:p w:rsidR="005F75CB" w:rsidRPr="00E06E58" w:rsidRDefault="005F75CB" w:rsidP="00E06E58">
    <w:pPr>
      <w:keepNext/>
      <w:keepLines/>
      <w:spacing w:before="120"/>
      <w:jc w:val="both"/>
      <w:rPr>
        <w:b/>
        <w:u w:val="single"/>
      </w:rPr>
    </w:pPr>
    <w:r w:rsidRPr="00E06E58">
      <w:rPr>
        <w:rFonts w:ascii="Arial" w:hAnsi="Arial" w:cs="Arial"/>
        <w:b/>
        <w:sz w:val="22"/>
        <w:szCs w:val="22"/>
        <w:u w:val="single"/>
      </w:rPr>
      <w:t xml:space="preserve">Queensland </w:t>
    </w:r>
    <w:smartTag w:uri="urn:schemas-microsoft-com:office:smarttags" w:element="PlaceType">
      <w:r w:rsidRPr="00E06E58">
        <w:rPr>
          <w:rFonts w:ascii="Arial" w:hAnsi="Arial" w:cs="Arial"/>
          <w:b/>
          <w:sz w:val="22"/>
          <w:szCs w:val="22"/>
          <w:u w:val="single"/>
        </w:rPr>
        <w:t>Forest</w:t>
      </w:r>
    </w:smartTag>
    <w:r w:rsidRPr="00E06E58">
      <w:rPr>
        <w:rFonts w:ascii="Arial" w:hAnsi="Arial" w:cs="Arial"/>
        <w:b/>
        <w:sz w:val="22"/>
        <w:szCs w:val="22"/>
        <w:u w:val="single"/>
      </w:rPr>
      <w:t xml:space="preserve"> and Timber Industry Plan</w:t>
    </w:r>
  </w:p>
  <w:p w:rsidR="005F75CB" w:rsidRPr="00E06E58" w:rsidRDefault="005F75CB" w:rsidP="00E06E58">
    <w:pPr>
      <w:tabs>
        <w:tab w:val="left" w:pos="1"/>
        <w:tab w:val="left" w:pos="390"/>
        <w:tab w:val="left" w:pos="1440"/>
        <w:tab w:val="left" w:pos="2160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E06E58">
      <w:rPr>
        <w:rFonts w:ascii="Arial" w:hAnsi="Arial" w:cs="Arial"/>
        <w:b/>
        <w:sz w:val="22"/>
        <w:szCs w:val="22"/>
        <w:u w:val="single"/>
      </w:rPr>
      <w:t>Minister for Agriculture, Fisheries and Forestry</w:t>
    </w:r>
  </w:p>
  <w:p w:rsidR="005F75CB" w:rsidRDefault="005F75C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40F48"/>
    <w:multiLevelType w:val="multilevel"/>
    <w:tmpl w:val="3BD0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E575DD"/>
    <w:multiLevelType w:val="hybridMultilevel"/>
    <w:tmpl w:val="FD1CDDA6"/>
    <w:lvl w:ilvl="0" w:tplc="8E886F44">
      <w:start w:val="1"/>
      <w:numFmt w:val="bullet"/>
      <w:lvlText w:val=""/>
      <w:lvlJc w:val="left"/>
      <w:pPr>
        <w:tabs>
          <w:tab w:val="num" w:pos="697"/>
        </w:tabs>
        <w:ind w:left="697" w:hanging="34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" w15:restartNumberingAfterBreak="0">
    <w:nsid w:val="2FE05BCB"/>
    <w:multiLevelType w:val="hybridMultilevel"/>
    <w:tmpl w:val="11705D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0442110"/>
    <w:multiLevelType w:val="multilevel"/>
    <w:tmpl w:val="F2261B2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B76DA2"/>
    <w:multiLevelType w:val="hybridMultilevel"/>
    <w:tmpl w:val="D230FA96"/>
    <w:lvl w:ilvl="0" w:tplc="04384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</w:rPr>
    </w:lvl>
    <w:lvl w:ilvl="1" w:tplc="0C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104ABE"/>
    <w:multiLevelType w:val="hybridMultilevel"/>
    <w:tmpl w:val="51E896EC"/>
    <w:lvl w:ilvl="0" w:tplc="6D32B1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0A9D"/>
    <w:rsid w:val="000430DD"/>
    <w:rsid w:val="00044F49"/>
    <w:rsid w:val="00055456"/>
    <w:rsid w:val="00080F8F"/>
    <w:rsid w:val="00082674"/>
    <w:rsid w:val="000F394D"/>
    <w:rsid w:val="000F55A0"/>
    <w:rsid w:val="0011743D"/>
    <w:rsid w:val="00117C8A"/>
    <w:rsid w:val="0012739B"/>
    <w:rsid w:val="00140936"/>
    <w:rsid w:val="00174117"/>
    <w:rsid w:val="001A32A4"/>
    <w:rsid w:val="001B2926"/>
    <w:rsid w:val="001E209B"/>
    <w:rsid w:val="0020080F"/>
    <w:rsid w:val="002035F4"/>
    <w:rsid w:val="00205B77"/>
    <w:rsid w:val="0021344B"/>
    <w:rsid w:val="00272114"/>
    <w:rsid w:val="002726F7"/>
    <w:rsid w:val="002B79BA"/>
    <w:rsid w:val="002C49A1"/>
    <w:rsid w:val="002E589E"/>
    <w:rsid w:val="003052C3"/>
    <w:rsid w:val="00344B8A"/>
    <w:rsid w:val="00376E5B"/>
    <w:rsid w:val="00385312"/>
    <w:rsid w:val="003966FE"/>
    <w:rsid w:val="003B5871"/>
    <w:rsid w:val="003C3DFA"/>
    <w:rsid w:val="00404CEA"/>
    <w:rsid w:val="00424E78"/>
    <w:rsid w:val="00487764"/>
    <w:rsid w:val="0049619F"/>
    <w:rsid w:val="004C711E"/>
    <w:rsid w:val="004E3AE1"/>
    <w:rsid w:val="00501C66"/>
    <w:rsid w:val="0052081B"/>
    <w:rsid w:val="0054319A"/>
    <w:rsid w:val="00550873"/>
    <w:rsid w:val="0057189C"/>
    <w:rsid w:val="005C5B90"/>
    <w:rsid w:val="005E1B6B"/>
    <w:rsid w:val="005E78A4"/>
    <w:rsid w:val="005F75CB"/>
    <w:rsid w:val="006100D7"/>
    <w:rsid w:val="00626ECF"/>
    <w:rsid w:val="006741DF"/>
    <w:rsid w:val="0067663B"/>
    <w:rsid w:val="006A433B"/>
    <w:rsid w:val="006D1976"/>
    <w:rsid w:val="00732C6E"/>
    <w:rsid w:val="00732E22"/>
    <w:rsid w:val="007441DC"/>
    <w:rsid w:val="007C6DEE"/>
    <w:rsid w:val="007D3E62"/>
    <w:rsid w:val="007F7FDE"/>
    <w:rsid w:val="00801D2A"/>
    <w:rsid w:val="00813914"/>
    <w:rsid w:val="00870D63"/>
    <w:rsid w:val="00881996"/>
    <w:rsid w:val="008A4523"/>
    <w:rsid w:val="008A78D4"/>
    <w:rsid w:val="008B6461"/>
    <w:rsid w:val="008C7ABD"/>
    <w:rsid w:val="008E46CC"/>
    <w:rsid w:val="008F44CD"/>
    <w:rsid w:val="00921DA5"/>
    <w:rsid w:val="00945E33"/>
    <w:rsid w:val="00954099"/>
    <w:rsid w:val="00994822"/>
    <w:rsid w:val="009A0A28"/>
    <w:rsid w:val="009A6BDD"/>
    <w:rsid w:val="009B06AF"/>
    <w:rsid w:val="009F6A95"/>
    <w:rsid w:val="00A07231"/>
    <w:rsid w:val="00A2055D"/>
    <w:rsid w:val="00A527A5"/>
    <w:rsid w:val="00A71EE7"/>
    <w:rsid w:val="00AC0017"/>
    <w:rsid w:val="00AD4B54"/>
    <w:rsid w:val="00AF265F"/>
    <w:rsid w:val="00AF6A3C"/>
    <w:rsid w:val="00B6245E"/>
    <w:rsid w:val="00B65802"/>
    <w:rsid w:val="00BA70D7"/>
    <w:rsid w:val="00BB5F80"/>
    <w:rsid w:val="00BB75ED"/>
    <w:rsid w:val="00BC2CDD"/>
    <w:rsid w:val="00C07656"/>
    <w:rsid w:val="00C14C22"/>
    <w:rsid w:val="00C27A8F"/>
    <w:rsid w:val="00C331BD"/>
    <w:rsid w:val="00C3371C"/>
    <w:rsid w:val="00C376B9"/>
    <w:rsid w:val="00C41F7B"/>
    <w:rsid w:val="00C75E67"/>
    <w:rsid w:val="00CB1501"/>
    <w:rsid w:val="00CE6FBA"/>
    <w:rsid w:val="00CF0D8A"/>
    <w:rsid w:val="00D27EDB"/>
    <w:rsid w:val="00D4752D"/>
    <w:rsid w:val="00D6589B"/>
    <w:rsid w:val="00D75134"/>
    <w:rsid w:val="00D87801"/>
    <w:rsid w:val="00DB67FB"/>
    <w:rsid w:val="00DB6FE7"/>
    <w:rsid w:val="00DD5C65"/>
    <w:rsid w:val="00DE61EC"/>
    <w:rsid w:val="00E06E58"/>
    <w:rsid w:val="00E3063F"/>
    <w:rsid w:val="00E93F02"/>
    <w:rsid w:val="00EB7FB7"/>
    <w:rsid w:val="00EF2113"/>
    <w:rsid w:val="00F06CA6"/>
    <w:rsid w:val="00F06D7C"/>
    <w:rsid w:val="00F07D87"/>
    <w:rsid w:val="00F10DF9"/>
    <w:rsid w:val="00F2299F"/>
    <w:rsid w:val="00F26A8A"/>
    <w:rsid w:val="00F44159"/>
    <w:rsid w:val="00F561A5"/>
    <w:rsid w:val="00FB2B1F"/>
    <w:rsid w:val="00FB4262"/>
    <w:rsid w:val="00FE0B25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Bodystyle">
    <w:name w:val="Body style"/>
    <w:basedOn w:val="Normal"/>
    <w:uiPriority w:val="99"/>
    <w:rsid w:val="0020080F"/>
    <w:pPr>
      <w:spacing w:after="240"/>
    </w:pPr>
    <w:rPr>
      <w:rFonts w:ascii="Arial" w:eastAsia="Calibri" w:hAnsi="Arial"/>
      <w:color w:val="auto"/>
      <w:sz w:val="22"/>
      <w:szCs w:val="24"/>
      <w:lang w:eastAsia="en-US"/>
    </w:rPr>
  </w:style>
  <w:style w:type="character" w:styleId="Hyperlink">
    <w:name w:val="Hyperlink"/>
    <w:uiPriority w:val="99"/>
    <w:unhideWhenUsed/>
    <w:rsid w:val="00801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ld%20State%20Forests%20policy%20state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Government%20response%20to%20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2020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2366</CharactersWithSpaces>
  <SharedDoc>false</SharedDoc>
  <HyperlinkBase>https://www.cabinet.qld.gov.au/documents/2013/Jun/Forest Timber Plan/</HyperlinkBase>
  <HLinks>
    <vt:vector size="12" baseType="variant">
      <vt:variant>
        <vt:i4>8257638</vt:i4>
      </vt:variant>
      <vt:variant>
        <vt:i4>3</vt:i4>
      </vt:variant>
      <vt:variant>
        <vt:i4>0</vt:i4>
      </vt:variant>
      <vt:variant>
        <vt:i4>5</vt:i4>
      </vt:variant>
      <vt:variant>
        <vt:lpwstr>Attachments/Qld State Forests policy statement.PDF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Attachments/Government response to 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2013-05-30T03:49:00Z</cp:lastPrinted>
  <dcterms:created xsi:type="dcterms:W3CDTF">2017-10-25T00:52:00Z</dcterms:created>
  <dcterms:modified xsi:type="dcterms:W3CDTF">2018-03-06T01:19:00Z</dcterms:modified>
  <cp:category>Forestry,Primary_Industries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